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Control Testing, Exceptions, and Compensating Controls</w:t>
      </w:r>
    </w:p>
    <w:p>
      <w:r>
        <w:rPr>
          <w:i/>
          <w:iCs/>
          <w:color w:val="555555"/>
        </w:rPr>
        <w:t xml:space="preserve">Mon, Aug 31, 6:00 PM EDT</w:t>
      </w:r>
    </w:p>
    <w:p>
      <w:pPr>
        <w:spacing w:after="240"/>
      </w:pPr>
      <w:r>
        <w:drawing>
          <wp:inline distT="0" distB="0" distL="0" distR="0">
            <wp:extent cx="5486400" cy="3657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</w:pPr>
      <w:r>
        <w:rPr>
          <w:b/>
          <w:bCs/>
        </w:rPr>
        <w:t xml:space="preserve">TL;DR — </w:t>
      </w:r>
      <w:r>
        <w:t xml:space="preserve">Periodic audits aren't enough; supplement them with routine control testing: automated checks that catch, say, an unexpected firewall port change the day it happens, not at the next audit. When a control genuinely can't be met, the exception has to be written down (justification, risks, residual risk) and approved by a defined authority. It doesn't get waved through in a hallway. And a compensating control has to earn it: PCI's bar is that it meets the intent and rigor of the original requirement, provides similar defense, and isn't already being counted for something else.</w:t>
      </w:r>
    </w:p>
    <w:p>
      <w:r>
        <w:t xml:space="preserve">An audit is a snapshot, and snapshots miss everything that happens between them. That's why routine control testing has to supplement periodic audits: continuous or automated checks that flag drift as it happens. The classic example is an automated check for unexpected firewall port changes: an audit would catch that open port next quarter; a routine test catches it the afternoon someone opens it. Audits prove the program on a schedule; routine testing keeps it honest in between.</w:t>
      </w:r>
    </w:p>
    <w:p>
      <w:pPr>
        <w:spacing w:after="240"/>
      </w:pPr>
      <w:r>
        <w:drawing>
          <wp:inline distT="0" distB="0" distL="0" distR="0">
            <wp:extent cx="5943600" cy="10953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Sometimes a control genuinely can't be met: a legacy system that can't do the required encryption, a business process that breaks under the rule. That's allowed, but only through a real exception process, and the two requirements are what keep "we made an exception" from becoming "we ignored it." First, formal written documentation: something like Washington State's exception request form, which forces you to spell out the justification, the risks, and the residual risk you're accepting. Second, a defined approval authority: a specific role empowered to accept that risk on the organization's behalf. An exception nobody signed and nobody wrote down isn't an exception, it's a gap you've decided not to look at.</w:t>
      </w:r>
    </w:p>
    <w:p>
      <w:pPr>
        <w:spacing w:after="240"/>
      </w:pPr>
      <w:r>
        <w:drawing>
          <wp:inline distT="0" distB="0" distL="0" distR="0">
            <wp:extent cx="5943600" cy="1019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When an exception is granted, you don't just accept the naked risk. You put a compensating control in its place, an alternative that covers what the original requirement would have. But a compensating control has to genuinely stand in, not just look like effort, and PCI DSS spells out the bar cleanly: it must meet the intent and rigor of the original requirement, provide a similar level of defense, and not already be counted toward some other requirement (no double-dipping one control across two obligations). Meet that bar and the exception is defensible; miss it and you've just documented, in writing, that you knew about the gap and left it open. That's worse than not documenting at all.</w:t>
      </w:r>
    </w:p>
    <w:p>
      <w:pPr>
        <w:spacing w:before="400"/>
        <w:jc w:val="left"/>
      </w:pPr>
      <w:r>
        <w:rPr>
          <w:color w:val="666666"/>
          <w:sz w:val="18"/>
          <w:szCs w:val="18"/>
        </w:rPr>
        <w:t xml:space="preserve">Written by Scott S. — Contact: scott@scottschlangen.com — scottslab.io — </w:t>
      </w:r>
      <w:hyperlink w:history="1" r:id="rIdhjyk-zfwozj068bbdxyhf">
        <w:r>
          <w:rPr>
            <w:color w:val="1d4ed8"/>
            <w:sz w:val="18"/>
            <w:szCs w:val="18"/>
          </w:rPr>
          <w:t xml:space="preserve">https://scottslab.io/posts/control-management-and-exceptions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jyk-zfwozj068bbdxyhf" Type="http://schemas.openxmlformats.org/officeDocument/2006/relationships/hyperlink" Target="https://scottslab.io/posts/control-management-and-exceptions" TargetMode="External"/><Relationship Id="rId7" Type="http://schemas.openxmlformats.org/officeDocument/2006/relationships/image" Target="media/8ee8a32a78870fb7268a49adc52b9e029fd9cb16.png"/><Relationship Id="rId8" Type="http://schemas.openxmlformats.org/officeDocument/2006/relationships/image" Target="media/9a47b93a81d8771625acf653232b06eb70b5a83b.png"/><Relationship Id="rId9" Type="http://schemas.openxmlformats.org/officeDocument/2006/relationships/image" Target="media/daf7344ef3a39b24d45335a2dc8495a466149aa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2026-09-01T09:23:53.825Z</dcterms:created>
  <dcterms:modified xsi:type="dcterms:W3CDTF">2026-09-01T09:23:53.825Z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